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aps/>
          <w:color w:val="69707C"/>
          <w:sz w:val="18"/>
          <w:szCs w:val="18"/>
        </w:rPr>
        <w:t xml:space="preserve">AI GOVERNANCE DESK</w:t>
      </w:r>
    </w:p>
    <w:p>
      <w:pPr>
        <w:spacing w:after="200"/>
      </w:pPr>
      <w:r>
        <w:rPr>
          <w:i/>
          <w:iCs/>
          <w:color w:val="69707C"/>
          <w:sz w:val="18"/>
          <w:szCs w:val="18"/>
        </w:rPr>
        <w:t xml:space="preserve">Template — Adapt Before Use</w:t>
      </w:r>
    </w:p>
    <w:p>
      <w:pPr>
        <w:pStyle w:val="Title"/>
        <w:spacing w:after="80"/>
      </w:pPr>
      <w:r>
        <w:rPr>
          <w:i/>
          <w:iCs/>
          <w:color w:val="2F6FED"/>
          <w:sz w:val="22"/>
          <w:szCs w:val="22"/>
        </w:rPr>
        <w:t xml:space="preserve">[Company Name]</w:t>
      </w:r>
      <w:r>
        <w:rPr>
          <w:b/>
          <w:bCs/>
          <w:color w:val="14304F"/>
          <w:sz w:val="36"/>
          <w:szCs w:val="36"/>
        </w:rPr>
        <w:t xml:space="preserve"> — AI Acceptable Use Policy for Employees</w:t>
      </w:r>
    </w:p>
    <w:p>
      <w:pPr>
        <w:spacing w:after="220"/>
      </w:pPr>
      <w:r>
        <w:rPr>
          <w:b/>
          <w:bCs/>
          <w:color w:val="1E2530"/>
          <w:sz w:val="22"/>
          <w:szCs w:val="22"/>
        </w:rPr>
        <w:t xml:space="preserve">Effective date:  </w:t>
      </w:r>
      <w:r>
        <w:rPr>
          <w:color w:val="8A93A3"/>
          <w:sz w:val="22"/>
          <w:szCs w:val="22"/>
        </w:rPr>
        <w:t xml:space="preserve">______________________________</w:t>
      </w:r>
    </w:p>
    <w:p>
      <w:pPr>
        <w:spacing w:after="220"/>
      </w:pPr>
      <w:r>
        <w:rPr>
          <w:b/>
          <w:bCs/>
          <w:color w:val="1E2530"/>
          <w:sz w:val="22"/>
          <w:szCs w:val="22"/>
        </w:rPr>
        <w:t xml:space="preserve">Policy version:  </w:t>
      </w:r>
      <w:r>
        <w:rPr>
          <w:color w:val="8A93A3"/>
          <w:sz w:val="22"/>
          <w:szCs w:val="22"/>
        </w:rPr>
        <w:t xml:space="preserve">____________________</w:t>
      </w:r>
    </w:p>
    <w:p>
      <w:pPr>
        <w:spacing w:after="220"/>
      </w:pPr>
      <w:r>
        <w:rPr>
          <w:b/>
          <w:bCs/>
          <w:color w:val="1E2530"/>
          <w:sz w:val="22"/>
          <w:szCs w:val="22"/>
        </w:rPr>
        <w:t xml:space="preserve">Policy owner (name and role):  </w:t>
      </w:r>
      <w:r>
        <w:rPr>
          <w:color w:val="8A93A3"/>
          <w:sz w:val="22"/>
          <w:szCs w:val="22"/>
        </w:rPr>
        <w:t xml:space="preserve">______________________________</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This template maps each clause to the legal obligation it is meant to evidence: Article 4 of Regulation (EU) 2024/1689 (AI literacy), Articles 6(1)(f), 22 and 35 of the GDPR, and Article 50 of Regulation (EU) 2024/1689 (transparency). It is written for organisations operating in the EU or serving EU-based staff. If you operate outside the EU, replace the article references with the equivalent obligations in your jurisdiction and have local counsel review before distribution. This document does not constitute legal advice.</w:t>
      </w:r>
    </w:p>
    <w:p>
      <w:r>
        <w:br w:type="page"/>
      </w:r>
    </w:p>
    <w:p>
      <w:pPr>
        <w:pStyle w:val="Heading1"/>
        <w:pBdr>
          <w:bottom w:val="single" w:color="2F6FED" w:sz="8" w:space="4"/>
        </w:pBdr>
        <w:spacing w:after="160" w:before="320"/>
      </w:pPr>
      <w:r>
        <w:rPr>
          <w:b/>
          <w:bCs/>
          <w:color w:val="14304F"/>
          <w:sz w:val="30"/>
          <w:szCs w:val="30"/>
        </w:rPr>
        <w:t xml:space="preserve">1. Scope</w:t>
      </w:r>
    </w:p>
    <w:p>
      <w:pPr>
        <w:spacing w:after="160" w:line="300"/>
      </w:pPr>
      <w:r>
        <w:rPr>
          <w:color w:val="1E2530"/>
          <w:sz w:val="22"/>
          <w:szCs w:val="22"/>
        </w:rPr>
        <w:t xml:space="preserve">This policy governs the use of artificial intelligence (AI) tools by employees, contractors, and temporary staff of [Company Name] (“the Company”) in the course of their work. It applies to any AI system used to draft, summarise, translate, code, analyse, or otherwise process information on the Company's behalf, whether accessed through a Company-provided account or a personal account used for work purposes.</w:t>
      </w:r>
    </w:p>
    <w:p>
      <w:pPr>
        <w:spacing w:after="160" w:line="300"/>
      </w:pPr>
      <w:r>
        <w:rPr>
          <w:color w:val="1E2530"/>
          <w:sz w:val="22"/>
          <w:szCs w:val="22"/>
        </w:rPr>
        <w:t xml:space="preserve">This policy covers general use of AI tools by employees. </w:t>
      </w:r>
      <w:r>
        <w:rPr>
          <w:b/>
          <w:bCs/>
          <w:color w:val="1E2530"/>
          <w:sz w:val="22"/>
          <w:szCs w:val="22"/>
        </w:rPr>
        <w:t xml:space="preserve">It does not cover AI systems used by the Company to make or materially inform decisions about employees (for example: recruitment screening, task allocation, performance scoring, or promotion and termination recommendations). </w:t>
      </w:r>
      <w:r>
        <w:rPr>
          <w:color w:val="1E2530"/>
          <w:sz w:val="22"/>
          <w:szCs w:val="22"/>
        </w:rPr>
        <w:t xml:space="preserve">Those systems are classified as high-risk under Annex III of Regulation (EU) 2024/1689 and require a separate compliance file — conformity documentation, human oversight design, and a Data Protection Impact Assessment — in addition to this policy.</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Delete the paragraph above if the Company does not use any AI system to score, rank, or decide about its own employees. Keep it, and complete the separate Annex III compliance file, if it does. Annex III obligations for these systems apply from 2 December 2027 under Regulation (EU) 2026/1744, but GDPR obligations for any such system apply now, independently of that date.</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Article 4 (AI literacy) is not itself listed among the fineable provisions in Article 99(3) to (5) — there is no standalone EU-level fine for a literacy failure in isolation. Exposure runs instead through Article 99(1), under which each Member State sets its own penalty rules for infringements not otherwise covered, and through the role a documented literacy gap can play as an aggravating factor if a regulator is already examining another AI Act matter. This is exactly why the version log and acknowledgment records in Section 5 matter: with no direct fine attached to Article 4, that evidentiary record is the primary asset the Company has if enforcement follows.</w:t>
      </w:r>
    </w:p>
    <w:p>
      <w:pPr>
        <w:pStyle w:val="Heading1"/>
        <w:pBdr>
          <w:bottom w:val="single" w:color="2F6FED" w:sz="8" w:space="4"/>
        </w:pBdr>
        <w:spacing w:after="160" w:before="320"/>
      </w:pPr>
      <w:r>
        <w:rPr>
          <w:b/>
          <w:bCs/>
          <w:color w:val="14304F"/>
          <w:sz w:val="30"/>
          <w:szCs w:val="30"/>
        </w:rPr>
        <w:t xml:space="preserve">2. Approved AI Tools and Tiers</w:t>
      </w:r>
    </w:p>
    <w:p>
      <w:pPr>
        <w:spacing w:after="160" w:line="300"/>
      </w:pPr>
      <w:r>
        <w:rPr>
          <w:color w:val="1E2530"/>
          <w:sz w:val="22"/>
          <w:szCs w:val="22"/>
        </w:rPr>
        <w:t xml:space="preserve">Only the AI tools listed below, at the tier specified, may be used for Company work. [Policy owner] maintains this list and updates it when a vendor changes its data-training or retention terms, and at each renewal or procurement review.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00"/>
        <w:gridCol w:w="3200"/>
        <w:gridCol w:w="3000"/>
        <w:gridCol w:w="1750"/>
      </w:tblGrid>
      <w:tr>
        <w:trPr>
          <w:tblHeader/>
        </w:trPr>
        <w:tc>
          <w:tcPr>
            <w:tcW w:type="dxa" w:w="1600"/>
            <w:shd w:fill="DEE6F4" w:val="clear"/>
            <w:tcMar>
              <w:top w:type="dxa" w:w="100"/>
              <w:left w:type="dxa" w:w="120"/>
              <w:bottom w:type="dxa" w:w="100"/>
              <w:right w:type="dxa" w:w="120"/>
            </w:tcMar>
            <w:vAlign w:val="top"/>
          </w:tcPr>
          <w:p>
            <w:r>
              <w:rPr>
                <w:b/>
                <w:bCs/>
                <w:i w:val="false"/>
                <w:iCs w:val="false"/>
                <w:color w:val="14304F"/>
                <w:sz w:val="20"/>
                <w:szCs w:val="20"/>
              </w:rPr>
              <w:t xml:space="preserve">Tier</w:t>
            </w:r>
          </w:p>
        </w:tc>
        <w:tc>
          <w:tcPr>
            <w:tcW w:type="dxa" w:w="3200"/>
            <w:shd w:fill="DEE6F4" w:val="clear"/>
            <w:tcMar>
              <w:top w:type="dxa" w:w="100"/>
              <w:left w:type="dxa" w:w="120"/>
              <w:bottom w:type="dxa" w:w="100"/>
              <w:right w:type="dxa" w:w="120"/>
            </w:tcMar>
            <w:vAlign w:val="top"/>
          </w:tcPr>
          <w:p>
            <w:r>
              <w:rPr>
                <w:b/>
                <w:bCs/>
                <w:i w:val="false"/>
                <w:iCs w:val="false"/>
                <w:color w:val="14304F"/>
                <w:sz w:val="20"/>
                <w:szCs w:val="20"/>
              </w:rPr>
              <w:t xml:space="preserve">Tool / Vendor</w:t>
            </w:r>
          </w:p>
        </w:tc>
        <w:tc>
          <w:tcPr>
            <w:tcW w:type="dxa" w:w="3000"/>
            <w:shd w:fill="DEE6F4" w:val="clear"/>
            <w:tcMar>
              <w:top w:type="dxa" w:w="100"/>
              <w:left w:type="dxa" w:w="120"/>
              <w:bottom w:type="dxa" w:w="100"/>
              <w:right w:type="dxa" w:w="120"/>
            </w:tcMar>
            <w:vAlign w:val="top"/>
          </w:tcPr>
          <w:p>
            <w:r>
              <w:rPr>
                <w:b/>
                <w:bCs/>
                <w:i w:val="false"/>
                <w:iCs w:val="false"/>
                <w:color w:val="14304F"/>
                <w:sz w:val="20"/>
                <w:szCs w:val="20"/>
              </w:rPr>
              <w:t xml:space="preserve">Approved Use Cases</w:t>
            </w:r>
          </w:p>
        </w:tc>
        <w:tc>
          <w:tcPr>
            <w:tcW w:type="dxa" w:w="1750"/>
            <w:shd w:fill="DEE6F4" w:val="clear"/>
            <w:tcMar>
              <w:top w:type="dxa" w:w="100"/>
              <w:left w:type="dxa" w:w="120"/>
              <w:bottom w:type="dxa" w:w="100"/>
              <w:right w:type="dxa" w:w="120"/>
            </w:tcMar>
            <w:vAlign w:val="top"/>
          </w:tcPr>
          <w:p>
            <w:r>
              <w:rPr>
                <w:b/>
                <w:bCs/>
                <w:i w:val="false"/>
                <w:iCs w:val="false"/>
                <w:color w:val="14304F"/>
                <w:sz w:val="20"/>
                <w:szCs w:val="20"/>
              </w:rPr>
              <w:t xml:space="preserve">Review Owner</w:t>
            </w:r>
          </w:p>
        </w:tc>
      </w:tr>
      <w:tr>
        <w:tc>
          <w:tcPr>
            <w:tcW w:type="dxa" w:w="1600"/>
            <w:tcMar>
              <w:top w:type="dxa" w:w="100"/>
              <w:left w:type="dxa" w:w="120"/>
              <w:bottom w:type="dxa" w:w="100"/>
              <w:right w:type="dxa" w:w="120"/>
            </w:tcMar>
            <w:vAlign w:val="top"/>
          </w:tcPr>
          <w:p>
            <w:r>
              <w:rPr>
                <w:b w:val="false"/>
                <w:bCs w:val="false"/>
                <w:i/>
                <w:iCs/>
                <w:color w:val="8A93A3"/>
                <w:sz w:val="20"/>
                <w:szCs w:val="20"/>
              </w:rPr>
              <w:t xml:space="preserve">Approved, unrestricted</w:t>
            </w:r>
          </w:p>
        </w:tc>
        <w:tc>
          <w:tcPr>
            <w:tcW w:type="dxa" w:w="3200"/>
            <w:tcMar>
              <w:top w:type="dxa" w:w="100"/>
              <w:left w:type="dxa" w:w="120"/>
              <w:bottom w:type="dxa" w:w="100"/>
              <w:right w:type="dxa" w:w="120"/>
            </w:tcMar>
            <w:vAlign w:val="top"/>
          </w:tcPr>
          <w:p>
            <w:r>
              <w:rPr>
                <w:b w:val="false"/>
                <w:bCs w:val="false"/>
                <w:i/>
                <w:iCs/>
                <w:color w:val="8A93A3"/>
                <w:sz w:val="20"/>
                <w:szCs w:val="20"/>
              </w:rPr>
              <w:t xml:space="preserve">[e.g., Company ChatGPT Enterprise account]</w:t>
            </w:r>
          </w:p>
        </w:tc>
        <w:tc>
          <w:tcPr>
            <w:tcW w:type="dxa" w:w="3000"/>
            <w:tcMar>
              <w:top w:type="dxa" w:w="100"/>
              <w:left w:type="dxa" w:w="120"/>
              <w:bottom w:type="dxa" w:w="100"/>
              <w:right w:type="dxa" w:w="120"/>
            </w:tcMar>
            <w:vAlign w:val="top"/>
          </w:tcPr>
          <w:p>
            <w:r>
              <w:rPr>
                <w:b w:val="false"/>
                <w:bCs w:val="false"/>
                <w:i/>
                <w:iCs/>
                <w:color w:val="8A93A3"/>
                <w:sz w:val="20"/>
                <w:szCs w:val="20"/>
              </w:rPr>
              <w:t xml:space="preserve">[e.g., internal drafting, brainstorming, code assistance]</w:t>
            </w:r>
          </w:p>
        </w:tc>
        <w:tc>
          <w:tcPr>
            <w:tcW w:type="dxa" w:w="1750"/>
            <w:tcMar>
              <w:top w:type="dxa" w:w="100"/>
              <w:left w:type="dxa" w:w="120"/>
              <w:bottom w:type="dxa" w:w="100"/>
              <w:right w:type="dxa" w:w="120"/>
            </w:tcMar>
            <w:vAlign w:val="top"/>
          </w:tcPr>
          <w:p>
            <w:r>
              <w:rPr>
                <w:b w:val="false"/>
                <w:bCs w:val="false"/>
                <w:i/>
                <w:iCs/>
                <w:color w:val="8A93A3"/>
                <w:sz w:val="20"/>
                <w:szCs w:val="20"/>
              </w:rPr>
              <w:t xml:space="preserve">[Name / role]</w:t>
            </w:r>
          </w:p>
        </w:tc>
      </w:tr>
      <w:tr>
        <w:tc>
          <w:tcPr>
            <w:tcW w:type="dxa" w:w="1600"/>
            <w:tcMar>
              <w:top w:type="dxa" w:w="100"/>
              <w:left w:type="dxa" w:w="120"/>
              <w:bottom w:type="dxa" w:w="100"/>
              <w:right w:type="dxa" w:w="120"/>
            </w:tcMar>
            <w:vAlign w:val="top"/>
          </w:tcPr>
          <w:p>
            <w:r>
              <w:rPr>
                <w:b w:val="false"/>
                <w:bCs w:val="false"/>
                <w:i/>
                <w:iCs/>
                <w:color w:val="8A93A3"/>
                <w:sz w:val="20"/>
                <w:szCs w:val="20"/>
              </w:rPr>
              <w:t xml:space="preserve">Approved, disclosure required</w:t>
            </w:r>
          </w:p>
        </w:tc>
        <w:tc>
          <w:tcPr>
            <w:tcW w:type="dxa" w:w="3200"/>
            <w:tcMar>
              <w:top w:type="dxa" w:w="100"/>
              <w:left w:type="dxa" w:w="120"/>
              <w:bottom w:type="dxa" w:w="100"/>
              <w:right w:type="dxa" w:w="120"/>
            </w:tcMar>
            <w:vAlign w:val="top"/>
          </w:tcPr>
          <w:p>
            <w:r>
              <w:rPr>
                <w:b w:val="false"/>
                <w:bCs w:val="false"/>
                <w:i/>
                <w:iCs/>
                <w:color w:val="8A93A3"/>
                <w:sz w:val="20"/>
                <w:szCs w:val="20"/>
              </w:rPr>
              <w:t xml:space="preserve">[Tool name]</w:t>
            </w:r>
          </w:p>
        </w:tc>
        <w:tc>
          <w:tcPr>
            <w:tcW w:type="dxa" w:w="3000"/>
            <w:tcMar>
              <w:top w:type="dxa" w:w="100"/>
              <w:left w:type="dxa" w:w="120"/>
              <w:bottom w:type="dxa" w:w="100"/>
              <w:right w:type="dxa" w:w="120"/>
            </w:tcMar>
            <w:vAlign w:val="top"/>
          </w:tcPr>
          <w:p>
            <w:r>
              <w:rPr>
                <w:b w:val="false"/>
                <w:bCs w:val="false"/>
                <w:i/>
                <w:iCs/>
                <w:color w:val="8A93A3"/>
                <w:sz w:val="20"/>
                <w:szCs w:val="20"/>
              </w:rPr>
              <w:t xml:space="preserve">[External-facing content, synthetic media]</w:t>
            </w:r>
          </w:p>
        </w:tc>
        <w:tc>
          <w:tcPr>
            <w:tcW w:type="dxa" w:w="1750"/>
            <w:tcMar>
              <w:top w:type="dxa" w:w="100"/>
              <w:left w:type="dxa" w:w="120"/>
              <w:bottom w:type="dxa" w:w="100"/>
              <w:right w:type="dxa" w:w="120"/>
            </w:tcMar>
            <w:vAlign w:val="top"/>
          </w:tcPr>
          <w:p>
            <w:r>
              <w:rPr>
                <w:b w:val="false"/>
                <w:bCs w:val="false"/>
                <w:i/>
                <w:iCs/>
                <w:color w:val="8A93A3"/>
                <w:sz w:val="20"/>
                <w:szCs w:val="20"/>
              </w:rPr>
              <w:t xml:space="preserve">[Name / role]</w:t>
            </w:r>
          </w:p>
        </w:tc>
      </w:tr>
      <w:tr>
        <w:tc>
          <w:tcPr>
            <w:tcW w:type="dxa" w:w="1600"/>
            <w:tcMar>
              <w:top w:type="dxa" w:w="100"/>
              <w:left w:type="dxa" w:w="120"/>
              <w:bottom w:type="dxa" w:w="100"/>
              <w:right w:type="dxa" w:w="120"/>
            </w:tcMar>
            <w:vAlign w:val="top"/>
          </w:tcPr>
          <w:p>
            <w:r>
              <w:rPr>
                <w:b w:val="false"/>
                <w:bCs w:val="false"/>
                <w:i/>
                <w:iCs/>
                <w:color w:val="8A93A3"/>
                <w:sz w:val="20"/>
                <w:szCs w:val="20"/>
              </w:rPr>
              <w:t xml:space="preserve">Restricted, approval required</w:t>
            </w:r>
          </w:p>
        </w:tc>
        <w:tc>
          <w:tcPr>
            <w:tcW w:type="dxa" w:w="3200"/>
            <w:tcMar>
              <w:top w:type="dxa" w:w="100"/>
              <w:left w:type="dxa" w:w="120"/>
              <w:bottom w:type="dxa" w:w="100"/>
              <w:right w:type="dxa" w:w="120"/>
            </w:tcMar>
            <w:vAlign w:val="top"/>
          </w:tcPr>
          <w:p>
            <w:r>
              <w:rPr>
                <w:b w:val="false"/>
                <w:bCs w:val="false"/>
                <w:i/>
                <w:iCs/>
                <w:color w:val="8A93A3"/>
                <w:sz w:val="20"/>
                <w:szCs w:val="20"/>
              </w:rPr>
              <w:t xml:space="preserve">[Tool name]</w:t>
            </w:r>
          </w:p>
        </w:tc>
        <w:tc>
          <w:tcPr>
            <w:tcW w:type="dxa" w:w="3000"/>
            <w:tcMar>
              <w:top w:type="dxa" w:w="100"/>
              <w:left w:type="dxa" w:w="120"/>
              <w:bottom w:type="dxa" w:w="100"/>
              <w:right w:type="dxa" w:w="120"/>
            </w:tcMar>
            <w:vAlign w:val="top"/>
          </w:tcPr>
          <w:p>
            <w:r>
              <w:rPr>
                <w:b w:val="false"/>
                <w:bCs w:val="false"/>
                <w:i/>
                <w:iCs/>
                <w:color w:val="8A93A3"/>
                <w:sz w:val="20"/>
                <w:szCs w:val="20"/>
              </w:rPr>
              <w:t xml:space="preserve">[Processing customer or employee personal data]</w:t>
            </w:r>
          </w:p>
        </w:tc>
        <w:tc>
          <w:tcPr>
            <w:tcW w:type="dxa" w:w="1750"/>
            <w:tcMar>
              <w:top w:type="dxa" w:w="100"/>
              <w:left w:type="dxa" w:w="120"/>
              <w:bottom w:type="dxa" w:w="100"/>
              <w:right w:type="dxa" w:w="120"/>
            </w:tcMar>
            <w:vAlign w:val="top"/>
          </w:tcPr>
          <w:p>
            <w:r>
              <w:rPr>
                <w:b w:val="false"/>
                <w:bCs w:val="false"/>
                <w:i/>
                <w:iCs/>
                <w:color w:val="8A93A3"/>
                <w:sz w:val="20"/>
                <w:szCs w:val="20"/>
              </w:rPr>
              <w:t xml:space="preserve">[Name / role]</w:t>
            </w:r>
          </w:p>
        </w:tc>
      </w:tr>
      <w:tr>
        <w:tc>
          <w:tcPr>
            <w:tcW w:type="dxa" w:w="1600"/>
            <w:tcMar>
              <w:top w:type="dxa" w:w="100"/>
              <w:left w:type="dxa" w:w="120"/>
              <w:bottom w:type="dxa" w:w="100"/>
              <w:right w:type="dxa" w:w="120"/>
            </w:tcMar>
            <w:vAlign w:val="top"/>
          </w:tcPr>
          <w:p>
            <w:r>
              <w:rPr>
                <w:b w:val="false"/>
                <w:bCs w:val="false"/>
                <w:i/>
                <w:iCs/>
                <w:color w:val="8A93A3"/>
                <w:sz w:val="20"/>
                <w:szCs w:val="20"/>
              </w:rPr>
              <w:t xml:space="preserve">Prohibited</w:t>
            </w:r>
          </w:p>
        </w:tc>
        <w:tc>
          <w:tcPr>
            <w:tcW w:type="dxa" w:w="3200"/>
            <w:tcMar>
              <w:top w:type="dxa" w:w="100"/>
              <w:left w:type="dxa" w:w="120"/>
              <w:bottom w:type="dxa" w:w="100"/>
              <w:right w:type="dxa" w:w="120"/>
            </w:tcMar>
            <w:vAlign w:val="top"/>
          </w:tcPr>
          <w:p>
            <w:r>
              <w:rPr>
                <w:b w:val="false"/>
                <w:bCs w:val="false"/>
                <w:i/>
                <w:iCs/>
                <w:color w:val="8A93A3"/>
                <w:sz w:val="20"/>
                <w:szCs w:val="20"/>
              </w:rPr>
              <w:t xml:space="preserve">[Any tool not listed above]</w:t>
            </w:r>
          </w:p>
        </w:tc>
        <w:tc>
          <w:tcPr>
            <w:tcW w:type="dxa" w:w="3000"/>
            <w:tcMar>
              <w:top w:type="dxa" w:w="100"/>
              <w:left w:type="dxa" w:w="120"/>
              <w:bottom w:type="dxa" w:w="100"/>
              <w:right w:type="dxa" w:w="120"/>
            </w:tcMar>
            <w:vAlign w:val="top"/>
          </w:tcPr>
          <w:p>
            <w:r>
              <w:rPr>
                <w:b w:val="false"/>
                <w:bCs w:val="false"/>
                <w:i/>
                <w:iCs/>
                <w:color w:val="8A93A3"/>
                <w:sz w:val="20"/>
                <w:szCs w:val="20"/>
              </w:rPr>
              <w:t xml:space="preserve">No use permitted</w:t>
            </w:r>
          </w:p>
        </w:tc>
        <w:tc>
          <w:tcPr>
            <w:tcW w:type="dxa" w:w="1750"/>
            <w:tcMar>
              <w:top w:type="dxa" w:w="100"/>
              <w:left w:type="dxa" w:w="120"/>
              <w:bottom w:type="dxa" w:w="100"/>
              <w:right w:type="dxa" w:w="120"/>
            </w:tcMar>
            <w:vAlign w:val="top"/>
          </w:tcPr>
          <w:p>
            <w:r>
              <w:rPr>
                <w:b w:val="false"/>
                <w:bCs w:val="false"/>
                <w:i/>
                <w:iCs/>
                <w:color w:val="8A93A3"/>
                <w:sz w:val="20"/>
                <w:szCs w:val="20"/>
              </w:rPr>
              <w:t xml:space="preserve">—</w:t>
            </w:r>
          </w:p>
        </w:tc>
      </w:tr>
    </w:tbl>
    <w:p>
      <w:pPr>
        <w:spacing w:before="200"/>
      </w:pPr>
    </w:p>
    <w:p>
      <w:pPr>
        <w:pStyle w:val="Heading2"/>
        <w:spacing w:after="120" w:before="240"/>
      </w:pPr>
      <w:r>
        <w:rPr>
          <w:b/>
          <w:bCs/>
          <w:color w:val="14304F"/>
          <w:sz w:val="24"/>
          <w:szCs w:val="24"/>
        </w:rPr>
        <w:t xml:space="preserve">Tier definitions</w:t>
      </w:r>
    </w:p>
    <w:p>
      <w:pPr>
        <w:pStyle w:val="ListParagraph"/>
        <w:numPr>
          <w:ilvl w:val="0"/>
          <w:numId w:val="2"/>
        </w:numPr>
        <w:spacing w:after="100" w:line="290"/>
      </w:pPr>
      <w:r>
        <w:rPr>
          <w:b/>
          <w:bCs/>
          <w:sz w:val="22"/>
          <w:szCs w:val="22"/>
        </w:rPr>
        <w:t xml:space="preserve">Approved, unrestricted — </w:t>
      </w:r>
      <w:r>
        <w:rPr>
          <w:sz w:val="22"/>
          <w:szCs w:val="22"/>
        </w:rPr>
        <w:t xml:space="preserve">the vendor's account tier excludes Company prompts from model training.</w:t>
      </w:r>
    </w:p>
    <w:p>
      <w:pPr>
        <w:pStyle w:val="ListParagraph"/>
        <w:numPr>
          <w:ilvl w:val="0"/>
          <w:numId w:val="2"/>
        </w:numPr>
        <w:spacing w:after="100" w:line="290"/>
      </w:pPr>
      <w:r>
        <w:rPr>
          <w:b/>
          <w:bCs/>
          <w:sz w:val="22"/>
          <w:szCs w:val="22"/>
        </w:rPr>
        <w:t xml:space="preserve">Approved, disclosure required — </w:t>
      </w:r>
      <w:r>
        <w:rPr>
          <w:sz w:val="22"/>
          <w:szCs w:val="22"/>
        </w:rPr>
        <w:t xml:space="preserve">output may reach an external audience; Article 50 disclosure applies before publication (see Section 6).</w:t>
      </w:r>
    </w:p>
    <w:p>
      <w:pPr>
        <w:pStyle w:val="ListParagraph"/>
        <w:numPr>
          <w:ilvl w:val="0"/>
          <w:numId w:val="2"/>
        </w:numPr>
        <w:spacing w:after="100" w:line="290"/>
      </w:pPr>
      <w:r>
        <w:rPr>
          <w:b/>
          <w:bCs/>
          <w:sz w:val="22"/>
          <w:szCs w:val="22"/>
        </w:rPr>
        <w:t xml:space="preserve">Restricted, approval required — </w:t>
      </w:r>
      <w:r>
        <w:rPr>
          <w:sz w:val="22"/>
          <w:szCs w:val="22"/>
        </w:rPr>
        <w:t xml:space="preserve">use requires a completed Data Protection Impact Assessment (Section 3) before the tool is authorised for that purpose.</w:t>
      </w:r>
    </w:p>
    <w:p>
      <w:pPr>
        <w:pStyle w:val="ListParagraph"/>
        <w:numPr>
          <w:ilvl w:val="0"/>
          <w:numId w:val="2"/>
        </w:numPr>
        <w:spacing w:after="100" w:line="290"/>
      </w:pPr>
      <w:r>
        <w:rPr>
          <w:b/>
          <w:bCs/>
          <w:sz w:val="22"/>
          <w:szCs w:val="22"/>
        </w:rPr>
        <w:t xml:space="preserve">Prohibited — </w:t>
      </w:r>
      <w:r>
        <w:rPr>
          <w:sz w:val="22"/>
          <w:szCs w:val="22"/>
        </w:rPr>
        <w:t xml:space="preserve">no enterprise data terms exist, or the tool has not been reviewed. Do not enter any Company or personal data.</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Employees using an approved tool are not personally responsible for Article 50 deployer disclosures — the Company carries that duty. Name the approver in the table above so staff know who to route disclosure requests to.</w:t>
      </w:r>
    </w:p>
    <w:p>
      <w:pPr>
        <w:pStyle w:val="Heading1"/>
        <w:pBdr>
          <w:bottom w:val="single" w:color="2F6FED" w:sz="8" w:space="4"/>
        </w:pBdr>
        <w:spacing w:after="160" w:before="320"/>
      </w:pPr>
      <w:r>
        <w:rPr>
          <w:b/>
          <w:bCs/>
          <w:color w:val="14304F"/>
          <w:sz w:val="30"/>
          <w:szCs w:val="30"/>
        </w:rPr>
        <w:t xml:space="preserve">3. Data Classification Rules</w:t>
      </w:r>
    </w:p>
    <w:p>
      <w:pPr>
        <w:spacing w:after="160" w:line="300"/>
      </w:pPr>
      <w:r>
        <w:rPr>
          <w:color w:val="1E2530"/>
          <w:sz w:val="22"/>
          <w:szCs w:val="22"/>
        </w:rPr>
        <w:t xml:space="preserve">Before entering any information into an AI tool, employees must classify it using the tiers below. When in doubt, treat the input as Restricted and ask [Policy owner].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550"/>
      </w:tblGrid>
      <w:tr>
        <w:trPr>
          <w:tblHeader/>
        </w:trPr>
        <w:tc>
          <w:tcPr>
            <w:tcW w:type="dxa" w:w="2000"/>
            <w:shd w:fill="DEE6F4" w:val="clear"/>
            <w:tcMar>
              <w:top w:type="dxa" w:w="100"/>
              <w:left w:type="dxa" w:w="120"/>
              <w:bottom w:type="dxa" w:w="100"/>
              <w:right w:type="dxa" w:w="120"/>
            </w:tcMar>
            <w:vAlign w:val="top"/>
          </w:tcPr>
          <w:p>
            <w:r>
              <w:rPr>
                <w:b/>
                <w:bCs/>
                <w:i w:val="false"/>
                <w:iCs w:val="false"/>
                <w:color w:val="14304F"/>
                <w:sz w:val="20"/>
                <w:szCs w:val="20"/>
              </w:rPr>
              <w:t xml:space="preserve">Tier</w:t>
            </w:r>
          </w:p>
        </w:tc>
        <w:tc>
          <w:tcPr>
            <w:tcW w:type="dxa" w:w="5000"/>
            <w:shd w:fill="DEE6F4" w:val="clear"/>
            <w:tcMar>
              <w:top w:type="dxa" w:w="100"/>
              <w:left w:type="dxa" w:w="120"/>
              <w:bottom w:type="dxa" w:w="100"/>
              <w:right w:type="dxa" w:w="120"/>
            </w:tcMar>
            <w:vAlign w:val="top"/>
          </w:tcPr>
          <w:p>
            <w:r>
              <w:rPr>
                <w:b/>
                <w:bCs/>
                <w:i w:val="false"/>
                <w:iCs w:val="false"/>
                <w:color w:val="14304F"/>
                <w:sz w:val="20"/>
                <w:szCs w:val="20"/>
              </w:rPr>
              <w:t xml:space="preserve">Examples</w:t>
            </w:r>
          </w:p>
        </w:tc>
        <w:tc>
          <w:tcPr>
            <w:tcW w:type="dxa" w:w="2550"/>
            <w:shd w:fill="DEE6F4" w:val="clear"/>
            <w:tcMar>
              <w:top w:type="dxa" w:w="100"/>
              <w:left w:type="dxa" w:w="120"/>
              <w:bottom w:type="dxa" w:w="100"/>
              <w:right w:type="dxa" w:w="120"/>
            </w:tcMar>
            <w:vAlign w:val="top"/>
          </w:tcPr>
          <w:p>
            <w:r>
              <w:rPr>
                <w:b/>
                <w:bCs/>
                <w:i w:val="false"/>
                <w:iCs w:val="false"/>
                <w:color w:val="14304F"/>
                <w:sz w:val="20"/>
                <w:szCs w:val="20"/>
              </w:rPr>
              <w:t xml:space="preserve">Rule</w:t>
            </w:r>
          </w:p>
        </w:tc>
      </w:tr>
      <w:tr>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Public</w:t>
            </w:r>
          </w:p>
        </w:tc>
        <w:tc>
          <w:tcPr>
            <w:tcW w:type="dxa" w:w="5000"/>
            <w:tcMar>
              <w:top w:type="dxa" w:w="100"/>
              <w:left w:type="dxa" w:w="120"/>
              <w:bottom w:type="dxa" w:w="100"/>
              <w:right w:type="dxa" w:w="120"/>
            </w:tcMar>
            <w:vAlign w:val="top"/>
          </w:tcPr>
          <w:p>
            <w:r>
              <w:rPr>
                <w:b w:val="false"/>
                <w:bCs w:val="false"/>
                <w:i w:val="false"/>
                <w:iCs w:val="false"/>
                <w:color w:val="1E2530"/>
                <w:sz w:val="20"/>
                <w:szCs w:val="20"/>
              </w:rPr>
              <w:t xml:space="preserve">Published Company content, general research, public web pages</w:t>
            </w:r>
          </w:p>
        </w:tc>
        <w:tc>
          <w:tcPr>
            <w:tcW w:type="dxa" w:w="2550"/>
            <w:tcMar>
              <w:top w:type="dxa" w:w="100"/>
              <w:left w:type="dxa" w:w="120"/>
              <w:bottom w:type="dxa" w:w="100"/>
              <w:right w:type="dxa" w:w="120"/>
            </w:tcMar>
            <w:vAlign w:val="top"/>
          </w:tcPr>
          <w:p>
            <w:r>
              <w:rPr>
                <w:b w:val="false"/>
                <w:bCs w:val="false"/>
                <w:i w:val="false"/>
                <w:iCs w:val="false"/>
                <w:color w:val="1E2530"/>
                <w:sz w:val="20"/>
                <w:szCs w:val="20"/>
              </w:rPr>
              <w:t xml:space="preserve">May be used freely in any approved tool.</w:t>
            </w:r>
          </w:p>
        </w:tc>
      </w:tr>
      <w:tr>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Internal</w:t>
            </w:r>
          </w:p>
        </w:tc>
        <w:tc>
          <w:tcPr>
            <w:tcW w:type="dxa" w:w="5000"/>
            <w:tcMar>
              <w:top w:type="dxa" w:w="100"/>
              <w:left w:type="dxa" w:w="120"/>
              <w:bottom w:type="dxa" w:w="100"/>
              <w:right w:type="dxa" w:w="120"/>
            </w:tcMar>
            <w:vAlign w:val="top"/>
          </w:tcPr>
          <w:p>
            <w:r>
              <w:rPr>
                <w:b w:val="false"/>
                <w:bCs w:val="false"/>
                <w:i w:val="false"/>
                <w:iCs w:val="false"/>
                <w:color w:val="1E2530"/>
                <w:sz w:val="20"/>
                <w:szCs w:val="20"/>
              </w:rPr>
              <w:t xml:space="preserve">Draft internal documents with no personal or client data</w:t>
            </w:r>
          </w:p>
        </w:tc>
        <w:tc>
          <w:tcPr>
            <w:tcW w:type="dxa" w:w="2550"/>
            <w:tcMar>
              <w:top w:type="dxa" w:w="100"/>
              <w:left w:type="dxa" w:w="120"/>
              <w:bottom w:type="dxa" w:w="100"/>
              <w:right w:type="dxa" w:w="120"/>
            </w:tcMar>
            <w:vAlign w:val="top"/>
          </w:tcPr>
          <w:p>
            <w:r>
              <w:rPr>
                <w:b w:val="false"/>
                <w:bCs w:val="false"/>
                <w:i w:val="false"/>
                <w:iCs w:val="false"/>
                <w:color w:val="1E2530"/>
                <w:sz w:val="20"/>
                <w:szCs w:val="20"/>
              </w:rPr>
              <w:t xml:space="preserve">May be used in Approved, unrestricted tools only.</w:t>
            </w:r>
          </w:p>
        </w:tc>
      </w:tr>
      <w:tr>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Restricted</w:t>
            </w:r>
          </w:p>
        </w:tc>
        <w:tc>
          <w:tcPr>
            <w:tcW w:type="dxa" w:w="5000"/>
            <w:tcMar>
              <w:top w:type="dxa" w:w="100"/>
              <w:left w:type="dxa" w:w="120"/>
              <w:bottom w:type="dxa" w:w="100"/>
              <w:right w:type="dxa" w:w="120"/>
            </w:tcMar>
            <w:vAlign w:val="top"/>
          </w:tcPr>
          <w:p>
            <w:r>
              <w:rPr>
                <w:b w:val="false"/>
                <w:bCs w:val="false"/>
                <w:i w:val="false"/>
                <w:iCs w:val="false"/>
                <w:color w:val="1E2530"/>
                <w:sz w:val="20"/>
                <w:szCs w:val="20"/>
              </w:rPr>
              <w:t xml:space="preserve">Customer data, employee personal data, financial or contract detail</w:t>
            </w:r>
          </w:p>
        </w:tc>
        <w:tc>
          <w:tcPr>
            <w:tcW w:type="dxa" w:w="2550"/>
            <w:tcMar>
              <w:top w:type="dxa" w:w="100"/>
              <w:left w:type="dxa" w:w="120"/>
              <w:bottom w:type="dxa" w:w="100"/>
              <w:right w:type="dxa" w:w="120"/>
            </w:tcMar>
            <w:vAlign w:val="top"/>
          </w:tcPr>
          <w:p>
            <w:r>
              <w:rPr>
                <w:b w:val="false"/>
                <w:bCs w:val="false"/>
                <w:i w:val="false"/>
                <w:iCs w:val="false"/>
                <w:color w:val="1E2530"/>
                <w:sz w:val="20"/>
                <w:szCs w:val="20"/>
              </w:rPr>
              <w:t xml:space="preserve">Requires a completed DPIA and use of a Restricted-tier tool only. Never use consent as the legal basis for processing that involves monitoring or profiling employees — see the drafting note below.</w:t>
            </w:r>
          </w:p>
        </w:tc>
      </w:tr>
      <w:tr>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Prohibited</w:t>
            </w:r>
          </w:p>
        </w:tc>
        <w:tc>
          <w:tcPr>
            <w:tcW w:type="dxa" w:w="5000"/>
            <w:tcMar>
              <w:top w:type="dxa" w:w="100"/>
              <w:left w:type="dxa" w:w="120"/>
              <w:bottom w:type="dxa" w:w="100"/>
              <w:right w:type="dxa" w:w="120"/>
            </w:tcMar>
            <w:vAlign w:val="top"/>
          </w:tcPr>
          <w:p>
            <w:r>
              <w:rPr>
                <w:b w:val="false"/>
                <w:bCs w:val="false"/>
                <w:i w:val="false"/>
                <w:iCs w:val="false"/>
                <w:color w:val="1E2530"/>
                <w:sz w:val="20"/>
                <w:szCs w:val="20"/>
              </w:rPr>
              <w:t xml:space="preserve">Data connected to monitoring, profiling, or evaluating colleagues; special category data under GDPR Article 9</w:t>
            </w:r>
          </w:p>
        </w:tc>
        <w:tc>
          <w:tcPr>
            <w:tcW w:type="dxa" w:w="2550"/>
            <w:tcMar>
              <w:top w:type="dxa" w:w="100"/>
              <w:left w:type="dxa" w:w="120"/>
              <w:bottom w:type="dxa" w:w="100"/>
              <w:right w:type="dxa" w:w="120"/>
            </w:tcMar>
            <w:vAlign w:val="top"/>
          </w:tcPr>
          <w:p>
            <w:r>
              <w:rPr>
                <w:b w:val="false"/>
                <w:bCs w:val="false"/>
                <w:i w:val="false"/>
                <w:iCs w:val="false"/>
                <w:color w:val="1E2530"/>
                <w:sz w:val="20"/>
                <w:szCs w:val="20"/>
              </w:rPr>
              <w:t xml:space="preserve">Do not enter into any AI tool until the DPIA and a documented legitimate-interest assessment (GDPR Article 6(1)(f)) exist.</w:t>
            </w:r>
          </w:p>
        </w:tc>
      </w:tr>
    </w:tbl>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Consent is not a valid legal basis for AI tools that monitor or profile employees, given the power imbalance in an employment relationship. If [Company Name] uses such a tool, document a legitimate-interest assessment under Article 6(1)(f) GDPR (purpose, necessity, and balancing test) instead, and complete the DPIA under Article 35 GDPR before deployment, not after.</w:t>
      </w:r>
    </w:p>
    <w:p>
      <w:pPr>
        <w:pStyle w:val="Heading1"/>
        <w:pBdr>
          <w:bottom w:val="single" w:color="2F6FED" w:sz="8" w:space="4"/>
        </w:pBdr>
        <w:spacing w:after="160" w:before="320"/>
      </w:pPr>
      <w:r>
        <w:rPr>
          <w:b/>
          <w:bCs/>
          <w:color w:val="14304F"/>
          <w:sz w:val="30"/>
          <w:szCs w:val="30"/>
        </w:rPr>
        <w:t xml:space="preserve">4. Human Review Requirements</w:t>
      </w:r>
    </w:p>
    <w:p>
      <w:pPr>
        <w:spacing w:after="160" w:line="300"/>
      </w:pPr>
      <w:r>
        <w:rPr>
          <w:color w:val="1E2530"/>
          <w:sz w:val="22"/>
          <w:szCs w:val="22"/>
        </w:rPr>
        <w:t xml:space="preserve">The decisions below may never be finalised on the basis of AI output alone. A named person must review the output and document that review before the decision is acted on.</w:t>
      </w:r>
    </w:p>
    <w:p>
      <w:pPr>
        <w:pStyle w:val="ListParagraph"/>
        <w:numPr>
          <w:ilvl w:val="0"/>
          <w:numId w:val="2"/>
        </w:numPr>
        <w:spacing w:after="100" w:line="290"/>
      </w:pPr>
      <w:r>
        <w:rPr>
          <w:sz w:val="22"/>
          <w:szCs w:val="22"/>
        </w:rPr>
        <w:t xml:space="preserve">Pay or compensation adjustments derived from automated monitoring or scoring.</w:t>
      </w:r>
    </w:p>
    <w:p>
      <w:pPr>
        <w:pStyle w:val="ListParagraph"/>
        <w:numPr>
          <w:ilvl w:val="0"/>
          <w:numId w:val="2"/>
        </w:numPr>
        <w:spacing w:after="100" w:line="290"/>
      </w:pPr>
      <w:r>
        <w:rPr>
          <w:sz w:val="22"/>
          <w:szCs w:val="22"/>
        </w:rPr>
        <w:t xml:space="preserve">Disciplinary action of any kind.</w:t>
      </w:r>
    </w:p>
    <w:p>
      <w:pPr>
        <w:pStyle w:val="ListParagraph"/>
        <w:numPr>
          <w:ilvl w:val="0"/>
          <w:numId w:val="2"/>
        </w:numPr>
        <w:spacing w:after="100" w:line="290"/>
      </w:pPr>
      <w:r>
        <w:rPr>
          <w:sz w:val="22"/>
          <w:szCs w:val="22"/>
        </w:rPr>
        <w:t xml:space="preserve">Rejection of a job candidate at any stage of recruitment.</w:t>
      </w:r>
    </w:p>
    <w:p>
      <w:pPr>
        <w:pStyle w:val="ListParagraph"/>
        <w:numPr>
          <w:ilvl w:val="0"/>
          <w:numId w:val="2"/>
        </w:numPr>
        <w:spacing w:after="100" w:line="290"/>
      </w:pPr>
      <w:r>
        <w:rPr>
          <w:sz w:val="22"/>
          <w:szCs w:val="22"/>
        </w:rPr>
        <w:t xml:space="preserve">Performance-based termination or non-renewal decisions.</w:t>
      </w:r>
    </w:p>
    <w:p>
      <w:pPr>
        <w:pStyle w:val="ListParagraph"/>
        <w:numPr>
          <w:ilvl w:val="0"/>
          <w:numId w:val="2"/>
        </w:numPr>
        <w:spacing w:after="100" w:line="290"/>
      </w:pPr>
      <w:r>
        <w:rPr>
          <w:i/>
          <w:iCs/>
          <w:color w:val="8A93A3"/>
          <w:sz w:val="22"/>
          <w:szCs w:val="22"/>
        </w:rPr>
        <w:t xml:space="preserve">[Add any other decision type specific to the Company's use of AI]</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This list should be exhaustive for the Company's actual use of AI in people decisions — add rows rather than relying on the general principle. GDPR Article 22 restricts decisions based solely on automated processing that produce legal or similarly significant effects; review must be substantive, not a formal sign-off on an outcome the system already determined.</w:t>
      </w:r>
    </w:p>
    <w:p>
      <w:pPr>
        <w:pStyle w:val="Heading1"/>
        <w:pBdr>
          <w:bottom w:val="single" w:color="2F6FED" w:sz="8" w:space="4"/>
        </w:pBdr>
        <w:spacing w:after="160" w:before="320"/>
      </w:pPr>
      <w:r>
        <w:rPr>
          <w:b/>
          <w:bCs/>
          <w:color w:val="14304F"/>
          <w:sz w:val="30"/>
          <w:szCs w:val="30"/>
        </w:rPr>
        <w:t xml:space="preserve">5. Acknowledgment and Version Log</w:t>
      </w:r>
    </w:p>
    <w:p>
      <w:pPr>
        <w:spacing w:after="160" w:line="300"/>
      </w:pPr>
      <w:r>
        <w:rPr>
          <w:color w:val="1E2530"/>
          <w:sz w:val="22"/>
          <w:szCs w:val="22"/>
        </w:rPr>
        <w:t xml:space="preserve">Every employee with access to an approved AI tool must sign and date this section, or complete the equivalent acknowledgment in the Company's HR system, before first use.</w:t>
      </w:r>
    </w:p>
    <w:p>
      <w:pPr>
        <w:pStyle w:val="Heading2"/>
        <w:spacing w:after="120" w:before="240"/>
      </w:pPr>
      <w:r>
        <w:rPr>
          <w:b/>
          <w:bCs/>
          <w:color w:val="14304F"/>
          <w:sz w:val="24"/>
          <w:szCs w:val="24"/>
        </w:rPr>
        <w:t xml:space="preserve">Employee acknowledgment</w:t>
      </w:r>
    </w:p>
    <w:p>
      <w:pPr>
        <w:spacing w:after="160" w:line="300"/>
      </w:pPr>
      <w:r>
        <w:rPr>
          <w:sz w:val="22"/>
          <w:szCs w:val="22"/>
        </w:rPr>
        <w:t xml:space="preserve">I confirm I have read and understood this AI Acceptable Use Policy, version </w:t>
      </w:r>
      <w:r>
        <w:rPr>
          <w:i/>
          <w:iCs/>
          <w:color w:val="2F6FED"/>
          <w:sz w:val="22"/>
          <w:szCs w:val="22"/>
        </w:rPr>
        <w:t xml:space="preserve">[version]</w:t>
      </w:r>
      <w:r>
        <w:rPr>
          <w:sz w:val="22"/>
          <w:szCs w:val="22"/>
        </w:rPr>
        <w:t xml:space="preserve">, and agree to comply with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800"/>
        <w:gridCol w:w="2750"/>
        <w:gridCol w:w="2000"/>
      </w:tblGrid>
      <w:tr>
        <w:trPr>
          <w:tblHeader/>
        </w:trPr>
        <w:tc>
          <w:tcPr>
            <w:tcW w:type="dxa" w:w="3800"/>
            <w:shd w:fill="DEE6F4" w:val="clear"/>
            <w:tcMar>
              <w:top w:type="dxa" w:w="100"/>
              <w:left w:type="dxa" w:w="120"/>
              <w:bottom w:type="dxa" w:w="100"/>
              <w:right w:type="dxa" w:w="120"/>
            </w:tcMar>
            <w:vAlign w:val="top"/>
          </w:tcPr>
          <w:p>
            <w:r>
              <w:rPr>
                <w:b/>
                <w:bCs/>
                <w:i w:val="false"/>
                <w:iCs w:val="false"/>
                <w:color w:val="14304F"/>
                <w:sz w:val="20"/>
                <w:szCs w:val="20"/>
              </w:rPr>
              <w:t xml:space="preserve">Employee name</w:t>
            </w:r>
          </w:p>
        </w:tc>
        <w:tc>
          <w:tcPr>
            <w:tcW w:type="dxa" w:w="2750"/>
            <w:shd w:fill="DEE6F4" w:val="clear"/>
            <w:tcMar>
              <w:top w:type="dxa" w:w="100"/>
              <w:left w:type="dxa" w:w="120"/>
              <w:bottom w:type="dxa" w:w="100"/>
              <w:right w:type="dxa" w:w="120"/>
            </w:tcMar>
            <w:vAlign w:val="top"/>
          </w:tcPr>
          <w:p>
            <w:r>
              <w:rPr>
                <w:b/>
                <w:bCs/>
                <w:i w:val="false"/>
                <w:iCs w:val="false"/>
                <w:color w:val="14304F"/>
                <w:sz w:val="20"/>
                <w:szCs w:val="20"/>
              </w:rPr>
              <w:t xml:space="preserve">Signature</w:t>
            </w:r>
          </w:p>
        </w:tc>
        <w:tc>
          <w:tcPr>
            <w:tcW w:type="dxa" w:w="2000"/>
            <w:shd w:fill="DEE6F4" w:val="clear"/>
            <w:tcMar>
              <w:top w:type="dxa" w:w="100"/>
              <w:left w:type="dxa" w:w="120"/>
              <w:bottom w:type="dxa" w:w="100"/>
              <w:right w:type="dxa" w:w="120"/>
            </w:tcMar>
            <w:vAlign w:val="top"/>
          </w:tcPr>
          <w:p>
            <w:r>
              <w:rPr>
                <w:b/>
                <w:bCs/>
                <w:i w:val="false"/>
                <w:iCs w:val="false"/>
                <w:color w:val="14304F"/>
                <w:sz w:val="20"/>
                <w:szCs w:val="20"/>
              </w:rPr>
              <w:t xml:space="preserve">Date</w:t>
            </w:r>
          </w:p>
        </w:tc>
      </w:tr>
      <w:tr>
        <w:tc>
          <w:tcPr>
            <w:tcW w:type="dxa" w:w="380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75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
            </w:r>
          </w:p>
        </w:tc>
      </w:tr>
      <w:tr>
        <w:tc>
          <w:tcPr>
            <w:tcW w:type="dxa" w:w="380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75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
            </w:r>
          </w:p>
        </w:tc>
      </w:tr>
      <w:tr>
        <w:tc>
          <w:tcPr>
            <w:tcW w:type="dxa" w:w="380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750"/>
            <w:tcMar>
              <w:top w:type="dxa" w:w="100"/>
              <w:left w:type="dxa" w:w="120"/>
              <w:bottom w:type="dxa" w:w="100"/>
              <w:right w:type="dxa" w:w="120"/>
            </w:tcMar>
            <w:vAlign w:val="top"/>
          </w:tcPr>
          <w:p>
            <w:r>
              <w:rPr>
                <w:b w:val="false"/>
                <w:bCs w:val="false"/>
                <w:i w:val="false"/>
                <w:iCs w:val="false"/>
                <w:color w:val="1E2530"/>
                <w:sz w:val="20"/>
                <w:szCs w:val="20"/>
              </w:rPr>
              <w:t xml:space="preserve"/>
            </w:r>
          </w:p>
        </w:tc>
        <w:tc>
          <w:tcPr>
            <w:tcW w:type="dxa" w:w="2000"/>
            <w:tcMar>
              <w:top w:type="dxa" w:w="100"/>
              <w:left w:type="dxa" w:w="120"/>
              <w:bottom w:type="dxa" w:w="100"/>
              <w:right w:type="dxa" w:w="120"/>
            </w:tcMar>
            <w:vAlign w:val="top"/>
          </w:tcPr>
          <w:p>
            <w:r>
              <w:rPr>
                <w:b w:val="false"/>
                <w:bCs w:val="false"/>
                <w:i w:val="false"/>
                <w:iCs w:val="false"/>
                <w:color w:val="1E2530"/>
                <w:sz w:val="20"/>
                <w:szCs w:val="20"/>
              </w:rPr>
              <w:t xml:space="preserve"/>
            </w:r>
          </w:p>
        </w:tc>
      </w:tr>
    </w:tbl>
    <w:p>
      <w:pPr>
        <w:spacing w:before="240"/>
      </w:pPr>
    </w:p>
    <w:p>
      <w:pPr>
        <w:pStyle w:val="Heading2"/>
        <w:spacing w:after="120" w:before="240"/>
      </w:pPr>
      <w:r>
        <w:rPr>
          <w:b/>
          <w:bCs/>
          <w:color w:val="14304F"/>
          <w:sz w:val="24"/>
          <w:szCs w:val="24"/>
        </w:rPr>
        <w:t xml:space="preserve">Version history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5150"/>
      </w:tblGrid>
      <w:tr>
        <w:trPr>
          <w:tblHeader/>
        </w:trPr>
        <w:tc>
          <w:tcPr>
            <w:tcW w:type="dxa" w:w="1500"/>
            <w:shd w:fill="DEE6F4" w:val="clear"/>
            <w:tcMar>
              <w:top w:type="dxa" w:w="100"/>
              <w:left w:type="dxa" w:w="120"/>
              <w:bottom w:type="dxa" w:w="100"/>
              <w:right w:type="dxa" w:w="120"/>
            </w:tcMar>
            <w:vAlign w:val="top"/>
          </w:tcPr>
          <w:p>
            <w:r>
              <w:rPr>
                <w:b/>
                <w:bCs/>
                <w:i w:val="false"/>
                <w:iCs w:val="false"/>
                <w:color w:val="14304F"/>
                <w:sz w:val="20"/>
                <w:szCs w:val="20"/>
              </w:rPr>
              <w:t xml:space="preserve">Version</w:t>
            </w:r>
          </w:p>
        </w:tc>
        <w:tc>
          <w:tcPr>
            <w:tcW w:type="dxa" w:w="1900"/>
            <w:shd w:fill="DEE6F4" w:val="clear"/>
            <w:tcMar>
              <w:top w:type="dxa" w:w="100"/>
              <w:left w:type="dxa" w:w="120"/>
              <w:bottom w:type="dxa" w:w="100"/>
              <w:right w:type="dxa" w:w="120"/>
            </w:tcMar>
            <w:vAlign w:val="top"/>
          </w:tcPr>
          <w:p>
            <w:r>
              <w:rPr>
                <w:b/>
                <w:bCs/>
                <w:i w:val="false"/>
                <w:iCs w:val="false"/>
                <w:color w:val="14304F"/>
                <w:sz w:val="20"/>
                <w:szCs w:val="20"/>
              </w:rPr>
              <w:t xml:space="preserve">Date</w:t>
            </w:r>
          </w:p>
        </w:tc>
        <w:tc>
          <w:tcPr>
            <w:tcW w:type="dxa" w:w="5150"/>
            <w:shd w:fill="DEE6F4" w:val="clear"/>
            <w:tcMar>
              <w:top w:type="dxa" w:w="100"/>
              <w:left w:type="dxa" w:w="120"/>
              <w:bottom w:type="dxa" w:w="100"/>
              <w:right w:type="dxa" w:w="120"/>
            </w:tcMar>
            <w:vAlign w:val="top"/>
          </w:tcPr>
          <w:p>
            <w:r>
              <w:rPr>
                <w:b/>
                <w:bCs/>
                <w:i w:val="false"/>
                <w:iCs w:val="false"/>
                <w:color w:val="14304F"/>
                <w:sz w:val="20"/>
                <w:szCs w:val="20"/>
              </w:rPr>
              <w:t xml:space="preserve">Summary of change</w:t>
            </w:r>
          </w:p>
        </w:tc>
      </w:tr>
      <w:tr>
        <w:tc>
          <w:tcPr>
            <w:tcW w:type="dxa" w:w="1500"/>
            <w:tcMar>
              <w:top w:type="dxa" w:w="100"/>
              <w:left w:type="dxa" w:w="120"/>
              <w:bottom w:type="dxa" w:w="100"/>
              <w:right w:type="dxa" w:w="120"/>
            </w:tcMar>
            <w:vAlign w:val="top"/>
          </w:tcPr>
          <w:p>
            <w:r>
              <w:rPr>
                <w:b w:val="false"/>
                <w:bCs w:val="false"/>
                <w:i/>
                <w:iCs/>
                <w:color w:val="8A93A3"/>
                <w:sz w:val="20"/>
                <w:szCs w:val="20"/>
              </w:rPr>
              <w:t xml:space="preserve">1.0</w:t>
            </w:r>
          </w:p>
        </w:tc>
        <w:tc>
          <w:tcPr>
            <w:tcW w:type="dxa" w:w="1900"/>
            <w:tcMar>
              <w:top w:type="dxa" w:w="100"/>
              <w:left w:type="dxa" w:w="120"/>
              <w:bottom w:type="dxa" w:w="100"/>
              <w:right w:type="dxa" w:w="120"/>
            </w:tcMar>
            <w:vAlign w:val="top"/>
          </w:tcPr>
          <w:p>
            <w:r>
              <w:rPr>
                <w:b w:val="false"/>
                <w:bCs w:val="false"/>
                <w:i/>
                <w:iCs/>
                <w:color w:val="8A93A3"/>
                <w:sz w:val="20"/>
                <w:szCs w:val="20"/>
              </w:rPr>
              <w:t xml:space="preserve">[date]</w:t>
            </w:r>
          </w:p>
        </w:tc>
        <w:tc>
          <w:tcPr>
            <w:tcW w:type="dxa" w:w="5150"/>
            <w:tcMar>
              <w:top w:type="dxa" w:w="100"/>
              <w:left w:type="dxa" w:w="120"/>
              <w:bottom w:type="dxa" w:w="100"/>
              <w:right w:type="dxa" w:w="120"/>
            </w:tcMar>
            <w:vAlign w:val="top"/>
          </w:tcPr>
          <w:p>
            <w:r>
              <w:rPr>
                <w:b w:val="false"/>
                <w:bCs w:val="false"/>
                <w:i/>
                <w:iCs/>
                <w:color w:val="8A93A3"/>
                <w:sz w:val="20"/>
                <w:szCs w:val="20"/>
              </w:rPr>
              <w:t xml:space="preserve">Initial policy issued.</w:t>
            </w:r>
          </w:p>
        </w:tc>
      </w:tr>
    </w:tbl>
    <w:p>
      <w:pPr>
        <w:pStyle w:val="Heading1"/>
        <w:pBdr>
          <w:bottom w:val="single" w:color="2F6FED" w:sz="8" w:space="4"/>
        </w:pBdr>
        <w:spacing w:after="160" w:before="320"/>
      </w:pPr>
      <w:r>
        <w:rPr>
          <w:b/>
          <w:bCs/>
          <w:color w:val="14304F"/>
          <w:sz w:val="30"/>
          <w:szCs w:val="30"/>
        </w:rPr>
        <w:t xml:space="preserve">6. Incident Reporting and Disclosure Contact</w:t>
      </w:r>
    </w:p>
    <w:p>
      <w:pPr>
        <w:spacing w:after="220"/>
      </w:pPr>
      <w:r>
        <w:rPr>
          <w:b/>
          <w:bCs/>
          <w:color w:val="1E2530"/>
          <w:sz w:val="22"/>
          <w:szCs w:val="22"/>
        </w:rPr>
        <w:t xml:space="preserve">Report AI-related concerns or suspected policy violations to:  </w:t>
      </w:r>
      <w:r>
        <w:rPr>
          <w:color w:val="8A93A3"/>
          <w:sz w:val="22"/>
          <w:szCs w:val="22"/>
        </w:rPr>
        <w:t xml:space="preserve">___________________________________</w:t>
      </w:r>
    </w:p>
    <w:p>
      <w:pPr>
        <w:spacing w:after="220"/>
      </w:pPr>
      <w:r>
        <w:rPr>
          <w:b/>
          <w:bCs/>
          <w:color w:val="1E2530"/>
          <w:sz w:val="22"/>
          <w:szCs w:val="22"/>
        </w:rPr>
        <w:t xml:space="preserve">Route Article 50 disclosure sign-off requests to:  </w:t>
      </w:r>
      <w:r>
        <w:rPr>
          <w:color w:val="8A93A3"/>
          <w:sz w:val="22"/>
          <w:szCs w:val="22"/>
        </w:rPr>
        <w:t xml:space="preserve">___________________________________</w:t>
      </w:r>
    </w:p>
    <w:p>
      <w:pPr>
        <w:spacing w:after="160" w:line="300"/>
      </w:pPr>
      <w:r>
        <w:rPr>
          <w:color w:val="1E2530"/>
          <w:sz w:val="22"/>
          <w:szCs w:val="22"/>
        </w:rPr>
        <w:t xml:space="preserve">Report a suspected AI-related data incident through the same channel used for other data protection incidents. Do not attempt to resolve or conceal a suspected incident before reporting it.</w:t>
      </w:r>
    </w:p>
    <w:p>
      <w:pPr>
        <w:pBdr>
          <w:top w:val="dashed" w:color="B3491F" w:sz="6" w:space="8"/>
          <w:bottom w:val="dashed" w:color="B3491F" w:sz="6" w:space="8"/>
          <w:left w:val="single" w:color="B3491F" w:sz="24" w:space="8"/>
          <w:right w:val="dashed" w:color="B3491F" w:sz="6" w:space="8"/>
        </w:pBdr>
        <w:shd w:fill="FBEAE0" w:val="clear"/>
        <w:spacing w:after="240" w:before="160"/>
      </w:pPr>
      <w:r>
        <w:rPr>
          <w:b/>
          <w:bCs/>
          <w:caps/>
          <w:color w:val="B3491F"/>
          <w:sz w:val="19"/>
          <w:szCs w:val="19"/>
        </w:rPr>
        <w:t xml:space="preserve">✂ TEMPLATE INSTRUCTIONS — DELETE BEFORE ISSUING: </w:t>
      </w:r>
      <w:r>
        <w:rPr>
          <w:i/>
          <w:iCs/>
          <w:color w:val="5A2E12"/>
          <w:sz w:val="20"/>
          <w:szCs w:val="20"/>
        </w:rPr>
        <w:t xml:space="preserve">Review this policy whenever a listed tool's vendor terms change, and in any event before 2 December 2027, when Annex III obligations for employment-decision AI systems become enforceable under Regulation (EU) 2026/1744.</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DD9" w:sz="4" w:space="4"/>
      </w:pBdr>
      <w:jc w:val="center"/>
    </w:pPr>
    <w:r>
      <w:rPr>
        <w:color w:val="69707C"/>
        <w:sz w:val="16"/>
        <w:szCs w:val="16"/>
      </w:rPr>
      <w:t xml:space="preserve">© 2026 AI Governance Desk | aigovernancedesk.com | hello@aigovernancedesk.com — Template for adaptation,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CDD9" w:sz="4" w:space="4"/>
      </w:pBdr>
      <w:jc w:val="right"/>
    </w:pPr>
    <w:r>
      <w:rPr>
        <w:color w:val="69707C"/>
        <w:sz w:val="16"/>
        <w:szCs w:val="16"/>
      </w:rPr>
      <w:t xml:space="preserve">AI Governance Desk — Employee AI Use Policy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2026-09-27T06:18:11.393Z</dcterms:created>
  <dcterms:modified xsi:type="dcterms:W3CDTF">2026-09-27T06:18:11.401Z</dcterms:modified>
</cp:coreProperties>
</file>

<file path=docProps/custom.xml><?xml version="1.0" encoding="utf-8"?>
<Properties xmlns="http://schemas.openxmlformats.org/officeDocument/2006/custom-properties" xmlns:vt="http://schemas.openxmlformats.org/officeDocument/2006/docPropsVTypes"/>
</file>